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</w:rPr>
        <w:t>年整改提升幼儿园复评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eastAsia="zh-CN"/>
        </w:rPr>
        <w:t>认定结果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东昌府区古楼街道办事处江北水城幼儿园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东昌府区郑家镇郑忠童蒙幼儿园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东昌府区柳园街道办事处海德幼儿园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东昌府区新区街道办事处丽水幼儿园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东昌府区新区街道办事处新星幼儿园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东昌府区阳光小学附属幼儿园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东昌府区北顺小学附属幼儿园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东阿县瑞吉欧幼儿园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东阿金口才幼儿园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东阿悦和苑幼儿园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冠县清泉街道于村幼儿园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莘县府前幼儿园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临清市烟店镇小神童幼儿园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阳谷金色童年幼儿园富润城园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阳谷外国语学校附属幼儿园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阳谷县第二实验幼儿园万和城园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高唐开发区明天博艺幼儿园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2020-12-23T03:09:18Z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