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72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0"/>
        <w:gridCol w:w="1944"/>
        <w:gridCol w:w="810"/>
        <w:gridCol w:w="2041"/>
        <w:gridCol w:w="810"/>
        <w:gridCol w:w="3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972"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i w:val="0"/>
                <w:caps w:val="0"/>
                <w:color w:val="4B4B4B"/>
                <w:spacing w:val="0"/>
                <w:sz w:val="16"/>
                <w:szCs w:val="16"/>
              </w:rPr>
            </w:pPr>
            <w:r>
              <w:rPr>
                <w:rFonts w:hint="eastAsia" w:ascii="宋体" w:hAnsi="宋体" w:eastAsia="宋体" w:cs="宋体"/>
                <w:b/>
                <w:i w:val="0"/>
                <w:caps w:val="0"/>
                <w:color w:val="4B4B4B"/>
                <w:spacing w:val="0"/>
                <w:kern w:val="0"/>
                <w:sz w:val="16"/>
                <w:szCs w:val="16"/>
                <w:bdr w:val="none" w:color="auto" w:sz="0" w:space="0"/>
                <w:lang w:val="en-US" w:eastAsia="zh-CN" w:bidi="ar"/>
              </w:rPr>
              <w:t>信息名称：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val="0"/>
                <w:i w:val="0"/>
                <w:caps w:val="0"/>
                <w:color w:val="4B4B4B"/>
                <w:spacing w:val="0"/>
                <w:sz w:val="16"/>
                <w:szCs w:val="16"/>
              </w:rPr>
            </w:pPr>
            <w:r>
              <w:rPr>
                <w:rFonts w:hint="eastAsia" w:ascii="宋体" w:hAnsi="宋体" w:eastAsia="宋体" w:cs="宋体"/>
                <w:b w:val="0"/>
                <w:i w:val="0"/>
                <w:caps w:val="0"/>
                <w:color w:val="4B4B4B"/>
                <w:spacing w:val="0"/>
                <w:kern w:val="0"/>
                <w:sz w:val="16"/>
                <w:szCs w:val="16"/>
                <w:bdr w:val="none" w:color="auto" w:sz="0" w:space="0"/>
                <w:lang w:val="en-US" w:eastAsia="zh-CN" w:bidi="ar"/>
              </w:rPr>
              <w:t>教育部关于印发《中小学图书馆（室）规程》的通知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972"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i w:val="0"/>
                <w:caps w:val="0"/>
                <w:color w:val="4B4B4B"/>
                <w:spacing w:val="0"/>
                <w:sz w:val="16"/>
                <w:szCs w:val="16"/>
              </w:rPr>
            </w:pPr>
            <w:r>
              <w:rPr>
                <w:rFonts w:hint="eastAsia" w:ascii="宋体" w:hAnsi="宋体" w:eastAsia="宋体" w:cs="宋体"/>
                <w:b/>
                <w:i w:val="0"/>
                <w:caps w:val="0"/>
                <w:color w:val="4B4B4B"/>
                <w:spacing w:val="0"/>
                <w:kern w:val="0"/>
                <w:sz w:val="16"/>
                <w:szCs w:val="16"/>
                <w:bdr w:val="none" w:color="auto" w:sz="0" w:space="0"/>
                <w:lang w:val="en-US" w:eastAsia="zh-CN" w:bidi="ar"/>
              </w:rPr>
              <w:t>信息索引：</w:t>
            </w:r>
          </w:p>
        </w:tc>
        <w:tc>
          <w:tcPr>
            <w:tcW w:w="10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val="0"/>
                <w:i w:val="0"/>
                <w:caps w:val="0"/>
                <w:color w:val="4B4B4B"/>
                <w:spacing w:val="0"/>
                <w:sz w:val="16"/>
                <w:szCs w:val="16"/>
              </w:rPr>
            </w:pPr>
            <w:r>
              <w:rPr>
                <w:rFonts w:hint="eastAsia" w:ascii="宋体" w:hAnsi="宋体" w:eastAsia="宋体" w:cs="宋体"/>
                <w:b w:val="0"/>
                <w:i w:val="0"/>
                <w:caps w:val="0"/>
                <w:color w:val="4B4B4B"/>
                <w:spacing w:val="0"/>
                <w:kern w:val="0"/>
                <w:sz w:val="16"/>
                <w:szCs w:val="16"/>
                <w:bdr w:val="none" w:color="auto" w:sz="0" w:space="0"/>
                <w:lang w:val="en-US" w:eastAsia="zh-CN" w:bidi="ar"/>
              </w:rPr>
              <w:t>360A06-05-2018-0014-1</w:t>
            </w:r>
          </w:p>
        </w:tc>
        <w:tc>
          <w:tcPr>
            <w:tcW w:w="972"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i w:val="0"/>
                <w:caps w:val="0"/>
                <w:color w:val="4B4B4B"/>
                <w:spacing w:val="0"/>
                <w:sz w:val="16"/>
                <w:szCs w:val="16"/>
              </w:rPr>
            </w:pPr>
            <w:r>
              <w:rPr>
                <w:rFonts w:hint="eastAsia" w:ascii="宋体" w:hAnsi="宋体" w:eastAsia="宋体" w:cs="宋体"/>
                <w:b/>
                <w:i w:val="0"/>
                <w:caps w:val="0"/>
                <w:color w:val="4B4B4B"/>
                <w:spacing w:val="0"/>
                <w:kern w:val="0"/>
                <w:sz w:val="16"/>
                <w:szCs w:val="16"/>
                <w:bdr w:val="none" w:color="auto" w:sz="0" w:space="0"/>
                <w:lang w:val="en-US" w:eastAsia="zh-CN" w:bidi="ar"/>
              </w:rPr>
              <w:t>生成日期：</w:t>
            </w:r>
          </w:p>
        </w:tc>
        <w:tc>
          <w:tcPr>
            <w:tcW w:w="105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val="0"/>
                <w:i w:val="0"/>
                <w:caps w:val="0"/>
                <w:color w:val="4B4B4B"/>
                <w:spacing w:val="0"/>
                <w:sz w:val="16"/>
                <w:szCs w:val="16"/>
              </w:rPr>
            </w:pPr>
            <w:r>
              <w:rPr>
                <w:rFonts w:hint="eastAsia" w:ascii="宋体" w:hAnsi="宋体" w:eastAsia="宋体" w:cs="宋体"/>
                <w:b w:val="0"/>
                <w:i w:val="0"/>
                <w:caps w:val="0"/>
                <w:color w:val="4B4B4B"/>
                <w:spacing w:val="0"/>
                <w:kern w:val="0"/>
                <w:sz w:val="16"/>
                <w:szCs w:val="16"/>
                <w:bdr w:val="none" w:color="auto" w:sz="0" w:space="0"/>
                <w:lang w:val="en-US" w:eastAsia="zh-CN" w:bidi="ar"/>
              </w:rPr>
              <w:t>2018-05-31</w:t>
            </w:r>
          </w:p>
        </w:tc>
        <w:tc>
          <w:tcPr>
            <w:tcW w:w="972"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i w:val="0"/>
                <w:caps w:val="0"/>
                <w:color w:val="4B4B4B"/>
                <w:spacing w:val="0"/>
                <w:sz w:val="16"/>
                <w:szCs w:val="16"/>
              </w:rPr>
            </w:pPr>
            <w:r>
              <w:rPr>
                <w:rFonts w:hint="eastAsia" w:ascii="宋体" w:hAnsi="宋体" w:eastAsia="宋体" w:cs="宋体"/>
                <w:b/>
                <w:i w:val="0"/>
                <w:caps w:val="0"/>
                <w:color w:val="4B4B4B"/>
                <w:spacing w:val="0"/>
                <w:kern w:val="0"/>
                <w:sz w:val="16"/>
                <w:szCs w:val="16"/>
                <w:bdr w:val="none" w:color="auto" w:sz="0" w:space="0"/>
                <w:lang w:val="en-US" w:eastAsia="zh-CN" w:bidi="ar"/>
              </w:rPr>
              <w:t>发文机构：</w:t>
            </w:r>
          </w:p>
        </w:tc>
        <w:tc>
          <w:tcPr>
            <w:tcW w:w="1700" w:type="pct"/>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val="0"/>
                <w:i w:val="0"/>
                <w:caps w:val="0"/>
                <w:color w:val="4B4B4B"/>
                <w:spacing w:val="0"/>
                <w:sz w:val="16"/>
                <w:szCs w:val="16"/>
              </w:rPr>
            </w:pPr>
            <w:r>
              <w:rPr>
                <w:rFonts w:hint="eastAsia" w:ascii="宋体" w:hAnsi="宋体" w:eastAsia="宋体" w:cs="宋体"/>
                <w:b w:val="0"/>
                <w:i w:val="0"/>
                <w:caps w:val="0"/>
                <w:color w:val="4B4B4B"/>
                <w:spacing w:val="0"/>
                <w:kern w:val="0"/>
                <w:sz w:val="16"/>
                <w:szCs w:val="16"/>
                <w:bdr w:val="none" w:color="auto" w:sz="0" w:space="0"/>
                <w:lang w:val="en-US" w:eastAsia="zh-CN" w:bidi="ar"/>
              </w:rPr>
              <w:t>中华人民共和国教育部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972"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i w:val="0"/>
                <w:caps w:val="0"/>
                <w:color w:val="4B4B4B"/>
                <w:spacing w:val="0"/>
                <w:sz w:val="16"/>
                <w:szCs w:val="16"/>
              </w:rPr>
            </w:pPr>
            <w:r>
              <w:rPr>
                <w:rFonts w:hint="eastAsia" w:ascii="宋体" w:hAnsi="宋体" w:eastAsia="宋体" w:cs="宋体"/>
                <w:b/>
                <w:i w:val="0"/>
                <w:caps w:val="0"/>
                <w:color w:val="4B4B4B"/>
                <w:spacing w:val="0"/>
                <w:kern w:val="0"/>
                <w:sz w:val="16"/>
                <w:szCs w:val="16"/>
                <w:bdr w:val="none" w:color="auto" w:sz="0" w:space="0"/>
                <w:lang w:val="en-US" w:eastAsia="zh-CN" w:bidi="ar"/>
              </w:rPr>
              <w:t>发文字号：</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val="0"/>
                <w:i w:val="0"/>
                <w:caps w:val="0"/>
                <w:color w:val="4B4B4B"/>
                <w:spacing w:val="0"/>
                <w:sz w:val="16"/>
                <w:szCs w:val="16"/>
              </w:rPr>
            </w:pPr>
            <w:r>
              <w:rPr>
                <w:rFonts w:hint="eastAsia" w:ascii="宋体" w:hAnsi="宋体" w:eastAsia="宋体" w:cs="宋体"/>
                <w:b w:val="0"/>
                <w:i w:val="0"/>
                <w:caps w:val="0"/>
                <w:color w:val="4B4B4B"/>
                <w:spacing w:val="0"/>
                <w:kern w:val="0"/>
                <w:sz w:val="16"/>
                <w:szCs w:val="16"/>
                <w:bdr w:val="none" w:color="auto" w:sz="0" w:space="0"/>
                <w:lang w:val="en-US" w:eastAsia="zh-CN" w:bidi="ar"/>
              </w:rPr>
              <w:t>教基〔2018〕5号</w:t>
            </w:r>
          </w:p>
        </w:tc>
        <w:tc>
          <w:tcPr>
            <w:tcW w:w="972"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i w:val="0"/>
                <w:caps w:val="0"/>
                <w:color w:val="4B4B4B"/>
                <w:spacing w:val="0"/>
                <w:sz w:val="16"/>
                <w:szCs w:val="16"/>
              </w:rPr>
            </w:pPr>
            <w:r>
              <w:rPr>
                <w:rFonts w:hint="eastAsia" w:ascii="宋体" w:hAnsi="宋体" w:eastAsia="宋体" w:cs="宋体"/>
                <w:b/>
                <w:i w:val="0"/>
                <w:caps w:val="0"/>
                <w:color w:val="4B4B4B"/>
                <w:spacing w:val="0"/>
                <w:kern w:val="0"/>
                <w:sz w:val="16"/>
                <w:szCs w:val="16"/>
                <w:bdr w:val="none" w:color="auto" w:sz="0" w:space="0"/>
                <w:lang w:val="en-US" w:eastAsia="zh-CN" w:bidi="ar"/>
              </w:rPr>
              <w:t>信息类别：</w:t>
            </w:r>
          </w:p>
        </w:tc>
        <w:tc>
          <w:tcPr>
            <w:tcW w:w="0" w:type="auto"/>
            <w:gridSpan w:val="3"/>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val="0"/>
                <w:i w:val="0"/>
                <w:caps w:val="0"/>
                <w:color w:val="4B4B4B"/>
                <w:spacing w:val="0"/>
                <w:sz w:val="16"/>
                <w:szCs w:val="16"/>
              </w:rPr>
            </w:pPr>
            <w:r>
              <w:rPr>
                <w:rFonts w:hint="eastAsia" w:ascii="宋体" w:hAnsi="宋体" w:eastAsia="宋体" w:cs="宋体"/>
                <w:b w:val="0"/>
                <w:i w:val="0"/>
                <w:caps w:val="0"/>
                <w:color w:val="4B4B4B"/>
                <w:spacing w:val="0"/>
                <w:kern w:val="0"/>
                <w:sz w:val="16"/>
                <w:szCs w:val="16"/>
                <w:bdr w:val="none" w:color="auto" w:sz="0" w:space="0"/>
                <w:lang w:val="en-US" w:eastAsia="zh-CN" w:bidi="ar"/>
              </w:rPr>
              <w:t>基础教育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972" w:type="dxa"/>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i w:val="0"/>
                <w:caps w:val="0"/>
                <w:color w:val="4B4B4B"/>
                <w:spacing w:val="0"/>
                <w:sz w:val="16"/>
                <w:szCs w:val="16"/>
              </w:rPr>
            </w:pPr>
            <w:r>
              <w:rPr>
                <w:rFonts w:hint="eastAsia" w:ascii="宋体" w:hAnsi="宋体" w:eastAsia="宋体" w:cs="宋体"/>
                <w:b/>
                <w:i w:val="0"/>
                <w:caps w:val="0"/>
                <w:color w:val="4B4B4B"/>
                <w:spacing w:val="0"/>
                <w:kern w:val="0"/>
                <w:sz w:val="16"/>
                <w:szCs w:val="16"/>
                <w:bdr w:val="none" w:color="auto" w:sz="0" w:space="0"/>
                <w:lang w:val="en-US" w:eastAsia="zh-CN" w:bidi="ar"/>
              </w:rPr>
              <w:t>内容概述：</w:t>
            </w:r>
          </w:p>
        </w:tc>
        <w:tc>
          <w:tcPr>
            <w:tcW w:w="0" w:type="auto"/>
            <w:gridSpan w:val="5"/>
            <w:tcBorders>
              <w:top w:val="nil"/>
              <w:left w:val="nil"/>
              <w:bottom w:val="nil"/>
              <w:right w:val="nil"/>
            </w:tcBorders>
            <w:shd w:val="clear"/>
            <w:vAlign w:val="top"/>
          </w:tcPr>
          <w:p>
            <w:pPr>
              <w:keepNext w:val="0"/>
              <w:keepLines w:val="0"/>
              <w:widowControl/>
              <w:suppressLineNumbers w:val="0"/>
              <w:spacing w:before="0" w:beforeAutospacing="0" w:after="0" w:afterAutospacing="0" w:line="300" w:lineRule="atLeast"/>
              <w:ind w:left="0" w:right="0" w:firstLine="0"/>
              <w:jc w:val="left"/>
              <w:rPr>
                <w:rFonts w:hint="eastAsia" w:ascii="宋体" w:hAnsi="宋体" w:eastAsia="宋体" w:cs="宋体"/>
                <w:b w:val="0"/>
                <w:i w:val="0"/>
                <w:caps w:val="0"/>
                <w:color w:val="4B4B4B"/>
                <w:spacing w:val="0"/>
                <w:sz w:val="16"/>
                <w:szCs w:val="16"/>
              </w:rPr>
            </w:pPr>
            <w:r>
              <w:rPr>
                <w:rFonts w:hint="eastAsia" w:ascii="宋体" w:hAnsi="宋体" w:eastAsia="宋体" w:cs="宋体"/>
                <w:b w:val="0"/>
                <w:i w:val="0"/>
                <w:caps w:val="0"/>
                <w:color w:val="4B4B4B"/>
                <w:spacing w:val="0"/>
                <w:kern w:val="0"/>
                <w:sz w:val="16"/>
                <w:szCs w:val="16"/>
                <w:bdr w:val="none" w:color="auto" w:sz="0" w:space="0"/>
                <w:lang w:val="en-US" w:eastAsia="zh-CN" w:bidi="ar"/>
              </w:rPr>
              <w:t>教育部印发《中小学图书馆（室）规程》。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ascii="微软雅黑" w:hAnsi="微软雅黑" w:eastAsia="微软雅黑" w:cs="微软雅黑"/>
          <w:b/>
          <w:color w:val="4B4B4B"/>
          <w:sz w:val="24"/>
          <w:szCs w:val="24"/>
        </w:rPr>
      </w:pPr>
      <w:bookmarkStart w:id="0" w:name="_GoBack"/>
      <w:r>
        <w:rPr>
          <w:rFonts w:hint="eastAsia" w:ascii="微软雅黑" w:hAnsi="微软雅黑" w:eastAsia="微软雅黑" w:cs="微软雅黑"/>
          <w:b/>
          <w:i w:val="0"/>
          <w:caps w:val="0"/>
          <w:color w:val="4B4B4B"/>
          <w:spacing w:val="0"/>
          <w:sz w:val="24"/>
          <w:szCs w:val="24"/>
          <w:bdr w:val="none" w:color="auto" w:sz="0" w:space="0"/>
        </w:rPr>
        <w:t>教育部关于印发《中小学图书馆</w:t>
      </w:r>
      <w:r>
        <w:rPr>
          <w:rFonts w:hint="eastAsia" w:ascii="微软雅黑" w:hAnsi="微软雅黑" w:eastAsia="微软雅黑" w:cs="微软雅黑"/>
          <w:b/>
          <w:i w:val="0"/>
          <w:caps w:val="0"/>
          <w:color w:val="4B4B4B"/>
          <w:spacing w:val="0"/>
          <w:sz w:val="24"/>
          <w:szCs w:val="24"/>
          <w:bdr w:val="none" w:color="auto" w:sz="0" w:space="0"/>
        </w:rPr>
        <w:br w:type="textWrapping"/>
      </w:r>
      <w:r>
        <w:rPr>
          <w:rFonts w:hint="eastAsia" w:ascii="微软雅黑" w:hAnsi="微软雅黑" w:eastAsia="微软雅黑" w:cs="微软雅黑"/>
          <w:b/>
          <w:i w:val="0"/>
          <w:caps w:val="0"/>
          <w:color w:val="4B4B4B"/>
          <w:spacing w:val="0"/>
          <w:sz w:val="24"/>
          <w:szCs w:val="24"/>
          <w:bdr w:val="none" w:color="auto" w:sz="0" w:space="0"/>
        </w:rPr>
        <w:t>（室）规程》的通知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教基〔2018〕5号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各省、自治区、直辖市教育厅（教委），新疆生产建设兵团教育局，各有关单位：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为贯彻党的十九大精神，落实立德树人根本任务，加强中小学图书馆（室）工作的指导，我们对2003年发布的《中小学图书馆(室)规程(修订)》进行了修订，现印发给你们，请结合实际认真贯彻执行。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right"/>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2018年5月28日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中小学图书馆（室）规程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第一条</w:t>
      </w:r>
      <w:r>
        <w:rPr>
          <w:rFonts w:hint="eastAsia" w:ascii="微软雅黑" w:hAnsi="微软雅黑" w:eastAsia="微软雅黑" w:cs="微软雅黑"/>
          <w:b w:val="0"/>
          <w:i w:val="0"/>
          <w:caps w:val="0"/>
          <w:color w:val="4B4B4B"/>
          <w:spacing w:val="0"/>
          <w:sz w:val="19"/>
          <w:szCs w:val="19"/>
          <w:bdr w:val="none" w:color="auto" w:sz="0" w:space="0"/>
        </w:rPr>
        <w:t> 为加强中小学图书馆(室)(以下简称图书馆)规范化、科学化、现代化建设，落实立德树人根本任务，提升服务教育教学能力，特制定本规程。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第二条</w:t>
      </w:r>
      <w:r>
        <w:rPr>
          <w:rFonts w:hint="eastAsia" w:ascii="微软雅黑" w:hAnsi="微软雅黑" w:eastAsia="微软雅黑" w:cs="微软雅黑"/>
          <w:b w:val="0"/>
          <w:i w:val="0"/>
          <w:caps w:val="0"/>
          <w:color w:val="4B4B4B"/>
          <w:spacing w:val="0"/>
          <w:sz w:val="19"/>
          <w:szCs w:val="19"/>
          <w:bdr w:val="none" w:color="auto" w:sz="0" w:space="0"/>
        </w:rPr>
        <w:t> 本规程适用于公办、民办全日制普通中小学校的图书馆。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第三条</w:t>
      </w:r>
      <w:r>
        <w:rPr>
          <w:rFonts w:hint="eastAsia" w:ascii="微软雅黑" w:hAnsi="微软雅黑" w:eastAsia="微软雅黑" w:cs="微软雅黑"/>
          <w:b w:val="0"/>
          <w:i w:val="0"/>
          <w:caps w:val="0"/>
          <w:color w:val="4B4B4B"/>
          <w:spacing w:val="0"/>
          <w:sz w:val="19"/>
          <w:szCs w:val="19"/>
          <w:bdr w:val="none" w:color="auto" w:sz="0" w:space="0"/>
        </w:rPr>
        <w:t> 图书馆是中小学校的文献信息中心,是学校教育教学和教育科学研究的重要场所，是学校文化建设和课程资源建设的重要载体，是促进学生全面发展和推动教师专业成长的重要平台，是基础教育现代化的重要体现，也是社会主义公共文化服务体系的有机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第四条</w:t>
      </w:r>
      <w:r>
        <w:rPr>
          <w:rFonts w:hint="eastAsia" w:ascii="微软雅黑" w:hAnsi="微软雅黑" w:eastAsia="微软雅黑" w:cs="微软雅黑"/>
          <w:b w:val="0"/>
          <w:i w:val="0"/>
          <w:caps w:val="0"/>
          <w:color w:val="4B4B4B"/>
          <w:spacing w:val="0"/>
          <w:sz w:val="19"/>
          <w:szCs w:val="19"/>
          <w:bdr w:val="none" w:color="auto" w:sz="0" w:space="0"/>
        </w:rPr>
        <w:t> 图书馆的主要任务是：贯彻党的教育方针，培育社会主义核心价值观，弘扬中华优秀传统文化，促进学生德智体美全面发展；建立健全学校文献信息和服务体系，协助教师开展教学教研活动，指导学生掌握检索与利用文献信息的知识与技能；组织学生阅读活动，培养学生的阅读兴趣和阅读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第二章 体制与机构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第五条</w:t>
      </w:r>
      <w:r>
        <w:rPr>
          <w:rFonts w:hint="eastAsia" w:ascii="微软雅黑" w:hAnsi="微软雅黑" w:eastAsia="微软雅黑" w:cs="微软雅黑"/>
          <w:b w:val="0"/>
          <w:i w:val="0"/>
          <w:caps w:val="0"/>
          <w:color w:val="4B4B4B"/>
          <w:spacing w:val="0"/>
          <w:sz w:val="19"/>
          <w:szCs w:val="19"/>
          <w:bdr w:val="none" w:color="auto" w:sz="0" w:space="0"/>
        </w:rPr>
        <w:t> 县级以上教育行政部门负责行政区域内图书馆的规划和管理，指导教育技术装备机构和学校做好图书馆的建设、配备、管理、应用、培训、评估等工作。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第六条</w:t>
      </w:r>
      <w:r>
        <w:rPr>
          <w:rFonts w:hint="eastAsia" w:ascii="微软雅黑" w:hAnsi="微软雅黑" w:eastAsia="微软雅黑" w:cs="微软雅黑"/>
          <w:b w:val="0"/>
          <w:i w:val="0"/>
          <w:caps w:val="0"/>
          <w:color w:val="4B4B4B"/>
          <w:spacing w:val="0"/>
          <w:sz w:val="19"/>
          <w:szCs w:val="19"/>
          <w:bdr w:val="none" w:color="auto" w:sz="0" w:space="0"/>
        </w:rPr>
        <w:t> 图书馆实行校长领导下的馆长负责制，由一名校级领导分管图书馆工作。有关图书馆工作的重大事项应当听取图书馆馆长意见，最终由校长办公会决定。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第七条</w:t>
      </w:r>
      <w:r>
        <w:rPr>
          <w:rFonts w:hint="eastAsia" w:ascii="微软雅黑" w:hAnsi="微软雅黑" w:eastAsia="微软雅黑" w:cs="微软雅黑"/>
          <w:b w:val="0"/>
          <w:i w:val="0"/>
          <w:caps w:val="0"/>
          <w:color w:val="4B4B4B"/>
          <w:spacing w:val="0"/>
          <w:sz w:val="19"/>
          <w:szCs w:val="19"/>
          <w:bdr w:val="none" w:color="auto" w:sz="0" w:space="0"/>
        </w:rPr>
        <w:t> 学校可根据需要设立阅读指导机构，指导和协调全校阅读活动的开展。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阅读指导机构由一名校领导担任负责人，成员由学校图书馆及相关职能部门负责人、教师和学生代表组成，鼓励家长代表参加。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阅读指导机构应当定期召开会议，制定学校阅读计划，组织阅读活动的实施，反映师生意见和要求，向学校提出改进阅读活动的建议。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第三章 图书配备与馆藏文献信息建设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第八条</w:t>
      </w:r>
      <w:r>
        <w:rPr>
          <w:rFonts w:hint="eastAsia" w:ascii="微软雅黑" w:hAnsi="微软雅黑" w:eastAsia="微软雅黑" w:cs="微软雅黑"/>
          <w:b w:val="0"/>
          <w:i w:val="0"/>
          <w:caps w:val="0"/>
          <w:color w:val="4B4B4B"/>
          <w:spacing w:val="0"/>
          <w:sz w:val="19"/>
          <w:szCs w:val="19"/>
          <w:bdr w:val="none" w:color="auto" w:sz="0" w:space="0"/>
        </w:rPr>
        <w:t> 学校应根据发展目标，以师生需求为导向，统筹纸质资源、数字资源和其他载体资源，制定图书配备与其他馆藏文献信息建设发展规划。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第九条</w:t>
      </w:r>
      <w:r>
        <w:rPr>
          <w:rFonts w:hint="eastAsia" w:ascii="微软雅黑" w:hAnsi="微软雅黑" w:eastAsia="微软雅黑" w:cs="微软雅黑"/>
          <w:b w:val="0"/>
          <w:i w:val="0"/>
          <w:caps w:val="0"/>
          <w:color w:val="4B4B4B"/>
          <w:spacing w:val="0"/>
          <w:sz w:val="19"/>
          <w:szCs w:val="19"/>
          <w:bdr w:val="none" w:color="auto" w:sz="0" w:space="0"/>
        </w:rPr>
        <w:t> 图书馆藏书包括适合中小学生阅读的各类图书和报刊、供师生使用的工具书、教学参考书、教育教学理论书籍和应用型的专业书籍。民族地区中小学应当根据教育教学需要配备相应民族语言文字的文献资源。接收残疾学生随班就读的学校应当配备适合特殊学生阅读的盲文图书、大字本图书和有声读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第十条</w:t>
      </w:r>
      <w:r>
        <w:rPr>
          <w:rFonts w:hint="eastAsia" w:ascii="微软雅黑" w:hAnsi="微软雅黑" w:eastAsia="微软雅黑" w:cs="微软雅黑"/>
          <w:b w:val="0"/>
          <w:i w:val="0"/>
          <w:caps w:val="0"/>
          <w:color w:val="4B4B4B"/>
          <w:spacing w:val="0"/>
          <w:sz w:val="19"/>
          <w:szCs w:val="19"/>
          <w:bdr w:val="none" w:color="auto" w:sz="0" w:space="0"/>
        </w:rPr>
        <w:t> 图书馆藏书量不得低于《中小学图书馆(室)藏书量》（附表一）的规定标准。建立完善增新剔旧制度。图书馆每年生均新增（更新）纸质图书应当不少于一本。图书复本量应当根据实际需要合理确定。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第十一条</w:t>
      </w:r>
      <w:r>
        <w:rPr>
          <w:rFonts w:hint="eastAsia" w:ascii="微软雅黑" w:hAnsi="微软雅黑" w:eastAsia="微软雅黑" w:cs="微软雅黑"/>
          <w:b w:val="0"/>
          <w:i w:val="0"/>
          <w:caps w:val="0"/>
          <w:color w:val="4B4B4B"/>
          <w:spacing w:val="0"/>
          <w:sz w:val="19"/>
          <w:szCs w:val="19"/>
          <w:bdr w:val="none" w:color="auto" w:sz="0" w:space="0"/>
        </w:rPr>
        <w:t> 图书馆应当建立和完善馆藏资源采购、配备办法，定期公告资源更新目录，注重听取师生意见，建立意见反馈机制，不断提高资源质量和适宜性。定期开展清理审查，严禁盗版图书等非法出版物及不适合中小学生阅读的出版物进入图书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第十二条</w:t>
      </w:r>
      <w:r>
        <w:rPr>
          <w:rFonts w:hint="eastAsia" w:ascii="微软雅黑" w:hAnsi="微软雅黑" w:eastAsia="微软雅黑" w:cs="微软雅黑"/>
          <w:b w:val="0"/>
          <w:i w:val="0"/>
          <w:caps w:val="0"/>
          <w:color w:val="4B4B4B"/>
          <w:spacing w:val="0"/>
          <w:sz w:val="19"/>
          <w:szCs w:val="19"/>
          <w:bdr w:val="none" w:color="auto" w:sz="0" w:space="0"/>
        </w:rPr>
        <w:t> 图书馆应当把《中小学图书馆(室)藏书分类比例表》（附表二）和教育部指导编制的《全国中小学图书馆（室）推荐书目》作为中小学图书馆馆藏建设的主要参考依据，合理配置纸质书刊。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第十三条</w:t>
      </w:r>
      <w:r>
        <w:rPr>
          <w:rFonts w:hint="eastAsia" w:ascii="微软雅黑" w:hAnsi="微软雅黑" w:eastAsia="微软雅黑" w:cs="微软雅黑"/>
          <w:b w:val="0"/>
          <w:i w:val="0"/>
          <w:caps w:val="0"/>
          <w:color w:val="4B4B4B"/>
          <w:spacing w:val="0"/>
          <w:sz w:val="19"/>
          <w:szCs w:val="19"/>
          <w:bdr w:val="none" w:color="auto" w:sz="0" w:space="0"/>
        </w:rPr>
        <w:t> 图书馆应当重视数字资源建设，依托区域数字图书馆和信息资源中心获取数字图书和电子期刊等。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地方教育行政部门要统筹推进区域数字图书馆和文献信息资源中心建设，促进优质数字资源共建共享。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第十四条</w:t>
      </w:r>
      <w:r>
        <w:rPr>
          <w:rFonts w:hint="eastAsia" w:ascii="微软雅黑" w:hAnsi="微软雅黑" w:eastAsia="微软雅黑" w:cs="微软雅黑"/>
          <w:b w:val="0"/>
          <w:i w:val="0"/>
          <w:caps w:val="0"/>
          <w:color w:val="4B4B4B"/>
          <w:spacing w:val="0"/>
          <w:sz w:val="19"/>
          <w:szCs w:val="19"/>
          <w:bdr w:val="none" w:color="auto" w:sz="0" w:space="0"/>
        </w:rPr>
        <w:t> 根据需要，图书馆可参与学校的校本资源开发和建设。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第四章 图书馆与文献信息管理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第十五条</w:t>
      </w:r>
      <w:r>
        <w:rPr>
          <w:rFonts w:hint="eastAsia" w:ascii="微软雅黑" w:hAnsi="微软雅黑" w:eastAsia="微软雅黑" w:cs="微软雅黑"/>
          <w:b w:val="0"/>
          <w:i w:val="0"/>
          <w:caps w:val="0"/>
          <w:color w:val="4B4B4B"/>
          <w:spacing w:val="0"/>
          <w:sz w:val="19"/>
          <w:szCs w:val="19"/>
          <w:bdr w:val="none" w:color="auto" w:sz="0" w:space="0"/>
        </w:rPr>
        <w:t> 图书馆应当建立健全各项规章制度，并确保执行。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第十六条</w:t>
      </w:r>
      <w:r>
        <w:rPr>
          <w:rFonts w:hint="eastAsia" w:ascii="微软雅黑" w:hAnsi="微软雅黑" w:eastAsia="微软雅黑" w:cs="微软雅黑"/>
          <w:b w:val="0"/>
          <w:i w:val="0"/>
          <w:caps w:val="0"/>
          <w:color w:val="4B4B4B"/>
          <w:spacing w:val="0"/>
          <w:sz w:val="19"/>
          <w:szCs w:val="19"/>
          <w:bdr w:val="none" w:color="auto" w:sz="0" w:space="0"/>
        </w:rPr>
        <w:t> 图书馆应当建立书刊总括登录和个别登录两种账目。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第十七条</w:t>
      </w:r>
      <w:r>
        <w:rPr>
          <w:rFonts w:hint="eastAsia" w:ascii="微软雅黑" w:hAnsi="微软雅黑" w:eastAsia="微软雅黑" w:cs="微软雅黑"/>
          <w:b w:val="0"/>
          <w:i w:val="0"/>
          <w:caps w:val="0"/>
          <w:color w:val="4B4B4B"/>
          <w:spacing w:val="0"/>
          <w:sz w:val="19"/>
          <w:szCs w:val="19"/>
          <w:bdr w:val="none" w:color="auto" w:sz="0" w:space="0"/>
        </w:rPr>
        <w:t> 各类型文献应当按照《中国图书馆分类法》进行分类。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第十八条</w:t>
      </w:r>
      <w:r>
        <w:rPr>
          <w:rFonts w:hint="eastAsia" w:ascii="微软雅黑" w:hAnsi="微软雅黑" w:eastAsia="微软雅黑" w:cs="微软雅黑"/>
          <w:b w:val="0"/>
          <w:i w:val="0"/>
          <w:caps w:val="0"/>
          <w:color w:val="4B4B4B"/>
          <w:spacing w:val="0"/>
          <w:sz w:val="19"/>
          <w:szCs w:val="19"/>
          <w:bdr w:val="none" w:color="auto" w:sz="0" w:space="0"/>
        </w:rPr>
        <w:t> 图书著录应当遵循《普通图书著录规则》；期刊著录应当遵循《连续出版物著录规则》，计算机编目应当遵循《中文图书机读目录格式》。图书馆应当有明确的馆藏图书排架体系。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第十九条</w:t>
      </w:r>
      <w:r>
        <w:rPr>
          <w:rFonts w:hint="eastAsia" w:ascii="微软雅黑" w:hAnsi="微软雅黑" w:eastAsia="微软雅黑" w:cs="微软雅黑"/>
          <w:b w:val="0"/>
          <w:i w:val="0"/>
          <w:caps w:val="0"/>
          <w:color w:val="4B4B4B"/>
          <w:spacing w:val="0"/>
          <w:sz w:val="19"/>
          <w:szCs w:val="19"/>
          <w:bdr w:val="none" w:color="auto" w:sz="0" w:space="0"/>
        </w:rPr>
        <w:t> 图书馆应当对采集的文献信息进行科学分类编目，建立完善的书目检索系统，实现书名、著者、分类等多种途径的检索。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第二十条</w:t>
      </w:r>
      <w:r>
        <w:rPr>
          <w:rFonts w:hint="eastAsia" w:ascii="微软雅黑" w:hAnsi="微软雅黑" w:eastAsia="微软雅黑" w:cs="微软雅黑"/>
          <w:b w:val="0"/>
          <w:i w:val="0"/>
          <w:caps w:val="0"/>
          <w:color w:val="4B4B4B"/>
          <w:spacing w:val="0"/>
          <w:sz w:val="19"/>
          <w:szCs w:val="19"/>
          <w:bdr w:val="none" w:color="auto" w:sz="0" w:space="0"/>
        </w:rPr>
        <w:t> 图书馆应当以全开架借阅为主。以学校图书馆为中心，在确保安全的前提下，充分利用走廊、教室等空间，创新书刊借阅方式，优化借阅管理，创建泛在阅读环境。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第二十一条</w:t>
      </w:r>
      <w:r>
        <w:rPr>
          <w:rFonts w:hint="eastAsia" w:ascii="微软雅黑" w:hAnsi="微软雅黑" w:eastAsia="微软雅黑" w:cs="微软雅黑"/>
          <w:b w:val="0"/>
          <w:i w:val="0"/>
          <w:caps w:val="0"/>
          <w:color w:val="4B4B4B"/>
          <w:spacing w:val="0"/>
          <w:sz w:val="19"/>
          <w:szCs w:val="19"/>
          <w:bdr w:val="none" w:color="auto" w:sz="0" w:space="0"/>
        </w:rPr>
        <w:t> 图书馆应当纳入学校信息化建设整体规划，实行信息化、网络化管理。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第二十二条</w:t>
      </w:r>
      <w:r>
        <w:rPr>
          <w:rFonts w:hint="eastAsia" w:ascii="微软雅黑" w:hAnsi="微软雅黑" w:eastAsia="微软雅黑" w:cs="微软雅黑"/>
          <w:b w:val="0"/>
          <w:i w:val="0"/>
          <w:caps w:val="0"/>
          <w:color w:val="4B4B4B"/>
          <w:spacing w:val="0"/>
          <w:sz w:val="19"/>
          <w:szCs w:val="19"/>
          <w:bdr w:val="none" w:color="auto" w:sz="0" w:space="0"/>
        </w:rPr>
        <w:t> 图书馆应当建设文献信息管理和服务系统，建立数据长期保存机制，妥善保护师生个人信息、借阅信息及其他隐私信息，不得出售或以其他方式非法向他人提供，保障信息安全。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第二十三条</w:t>
      </w:r>
      <w:r>
        <w:rPr>
          <w:rFonts w:hint="eastAsia" w:ascii="微软雅黑" w:hAnsi="微软雅黑" w:eastAsia="微软雅黑" w:cs="微软雅黑"/>
          <w:b w:val="0"/>
          <w:i w:val="0"/>
          <w:caps w:val="0"/>
          <w:color w:val="4B4B4B"/>
          <w:spacing w:val="0"/>
          <w:sz w:val="19"/>
          <w:szCs w:val="19"/>
          <w:bdr w:val="none" w:color="auto" w:sz="0" w:space="0"/>
        </w:rPr>
        <w:t> 图书馆应当依据档案管理规范，制定科学管理流程，妥善保存档案资料。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第二十四条</w:t>
      </w:r>
      <w:r>
        <w:rPr>
          <w:rFonts w:hint="eastAsia" w:ascii="微软雅黑" w:hAnsi="微软雅黑" w:eastAsia="微软雅黑" w:cs="微软雅黑"/>
          <w:b w:val="0"/>
          <w:i w:val="0"/>
          <w:caps w:val="0"/>
          <w:color w:val="4B4B4B"/>
          <w:spacing w:val="0"/>
          <w:sz w:val="19"/>
          <w:szCs w:val="19"/>
          <w:bdr w:val="none" w:color="auto" w:sz="0" w:space="0"/>
        </w:rPr>
        <w:t> 图书馆应当建立完善的资产账目和管理制度。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第二十五条</w:t>
      </w:r>
      <w:r>
        <w:rPr>
          <w:rFonts w:hint="eastAsia" w:ascii="微软雅黑" w:hAnsi="微软雅黑" w:eastAsia="微软雅黑" w:cs="微软雅黑"/>
          <w:b w:val="0"/>
          <w:i w:val="0"/>
          <w:caps w:val="0"/>
          <w:color w:val="4B4B4B"/>
          <w:spacing w:val="0"/>
          <w:sz w:val="19"/>
          <w:szCs w:val="19"/>
          <w:bdr w:val="none" w:color="auto" w:sz="0" w:space="0"/>
        </w:rPr>
        <w:t> 图书馆应当如实填报各类统计数据，做好统计数据的分析和保存。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第五章 应用与服务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第二十六条</w:t>
      </w:r>
      <w:r>
        <w:rPr>
          <w:rFonts w:hint="eastAsia" w:ascii="微软雅黑" w:hAnsi="微软雅黑" w:eastAsia="微软雅黑" w:cs="微软雅黑"/>
          <w:b w:val="0"/>
          <w:i w:val="0"/>
          <w:caps w:val="0"/>
          <w:color w:val="4B4B4B"/>
          <w:spacing w:val="0"/>
          <w:sz w:val="19"/>
          <w:szCs w:val="19"/>
          <w:bdr w:val="none" w:color="auto" w:sz="0" w:space="0"/>
        </w:rPr>
        <w:t> 教学期间，图书馆每周开放时间原则上不少于40小时。鼓励课余时间、法定节假日和寒暑假期间对师生有效开放。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第二十七条</w:t>
      </w:r>
      <w:r>
        <w:rPr>
          <w:rFonts w:hint="eastAsia" w:ascii="微软雅黑" w:hAnsi="微软雅黑" w:eastAsia="微软雅黑" w:cs="微软雅黑"/>
          <w:b w:val="0"/>
          <w:i w:val="0"/>
          <w:caps w:val="0"/>
          <w:color w:val="4B4B4B"/>
          <w:spacing w:val="0"/>
          <w:sz w:val="19"/>
          <w:szCs w:val="19"/>
          <w:bdr w:val="none" w:color="auto" w:sz="0" w:space="0"/>
        </w:rPr>
        <w:t> 图书馆应当做好阅览、外借、宣传推荐服务工作；开设新生入馆教育、文献信息检索与利用、阅读指导课等，鼓励纳入教学计划；为教育教学和科研活动提供有效的文献信息支撑；创新各类资源使用方式，积极创建书香校园，组织形式多样的阅读活动，促进全民阅读工作；鼓励开展图书借阅数据分析，有针对性地改进学生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第二十八条</w:t>
      </w:r>
      <w:r>
        <w:rPr>
          <w:rFonts w:hint="eastAsia" w:ascii="微软雅黑" w:hAnsi="微软雅黑" w:eastAsia="微软雅黑" w:cs="微软雅黑"/>
          <w:b w:val="0"/>
          <w:i w:val="0"/>
          <w:caps w:val="0"/>
          <w:color w:val="4B4B4B"/>
          <w:spacing w:val="0"/>
          <w:sz w:val="19"/>
          <w:szCs w:val="19"/>
          <w:bdr w:val="none" w:color="auto" w:sz="0" w:space="0"/>
        </w:rPr>
        <w:t> 图书馆应当加强馆际交流，推动校际阅读活动、校本资源和特色资源的合作与共享。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第二十九条</w:t>
      </w:r>
      <w:r>
        <w:rPr>
          <w:rFonts w:hint="eastAsia" w:ascii="微软雅黑" w:hAnsi="微软雅黑" w:eastAsia="微软雅黑" w:cs="微软雅黑"/>
          <w:b w:val="0"/>
          <w:i w:val="0"/>
          <w:caps w:val="0"/>
          <w:color w:val="4B4B4B"/>
          <w:spacing w:val="0"/>
          <w:sz w:val="19"/>
          <w:szCs w:val="19"/>
          <w:bdr w:val="none" w:color="auto" w:sz="0" w:space="0"/>
        </w:rPr>
        <w:t> 图书馆应当积极与本地公共图书馆，特别是少年儿童图书馆、高等学校图书馆开展馆际合作，实现资源共享。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各地教育行政部门要重视和加强乡镇中心学校图书馆建设，辐射周边小规模学校。在确保校园安全的前提下，有条件的学校可以探索向家长、社区有序开放。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第三十条</w:t>
      </w:r>
      <w:r>
        <w:rPr>
          <w:rFonts w:hint="eastAsia" w:ascii="微软雅黑" w:hAnsi="微软雅黑" w:eastAsia="微软雅黑" w:cs="微软雅黑"/>
          <w:b w:val="0"/>
          <w:i w:val="0"/>
          <w:caps w:val="0"/>
          <w:color w:val="4B4B4B"/>
          <w:spacing w:val="0"/>
          <w:sz w:val="19"/>
          <w:szCs w:val="19"/>
          <w:bdr w:val="none" w:color="auto" w:sz="0" w:space="0"/>
        </w:rPr>
        <w:t> 鼓励有条件的图书馆开展纸质图书和数字图书资源的一体化编目和服务。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第六章 条件与保障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第三十一条</w:t>
      </w:r>
      <w:r>
        <w:rPr>
          <w:rFonts w:hint="eastAsia" w:ascii="微软雅黑" w:hAnsi="微软雅黑" w:eastAsia="微软雅黑" w:cs="微软雅黑"/>
          <w:b w:val="0"/>
          <w:i w:val="0"/>
          <w:caps w:val="0"/>
          <w:color w:val="4B4B4B"/>
          <w:spacing w:val="0"/>
          <w:sz w:val="19"/>
          <w:szCs w:val="19"/>
          <w:bdr w:val="none" w:color="auto" w:sz="0" w:space="0"/>
        </w:rPr>
        <w:t> 图书馆馆舍建设应当纳入学校建设总体规划。有条件的中小学校设立独立的图书馆舍。图书馆应当有采编、藏书、阅览、教学、读者活动等场所。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图书馆应当重视馆内环境的绿化美化，具备良好的通风、换气、采光、照明、防火、防潮、防虫、保洁、安全等条件。接受残疾生源的学校图书馆应当设置无障碍设施及相关标识。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第三十二条</w:t>
      </w:r>
      <w:r>
        <w:rPr>
          <w:rFonts w:hint="eastAsia" w:ascii="微软雅黑" w:hAnsi="微软雅黑" w:eastAsia="微软雅黑" w:cs="微软雅黑"/>
          <w:b w:val="0"/>
          <w:i w:val="0"/>
          <w:caps w:val="0"/>
          <w:color w:val="4B4B4B"/>
          <w:spacing w:val="0"/>
          <w:sz w:val="19"/>
          <w:szCs w:val="19"/>
          <w:bdr w:val="none" w:color="auto" w:sz="0" w:space="0"/>
        </w:rPr>
        <w:t> 图书馆应当配备书架、阅览桌椅、借阅台、报刊架、书柜、计算机等必要的设施设备，并有计划地配置文件柜、陈列柜、办公桌椅、借还机、打印机、扫描仪、电子阅读设备、复印设备、文献保护设施设备、装订、安全监测等相关设备。设施、设备应当符合学生年龄使用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第三十三条</w:t>
      </w:r>
      <w:r>
        <w:rPr>
          <w:rFonts w:hint="eastAsia" w:ascii="微软雅黑" w:hAnsi="微软雅黑" w:eastAsia="微软雅黑" w:cs="微软雅黑"/>
          <w:b w:val="0"/>
          <w:i w:val="0"/>
          <w:caps w:val="0"/>
          <w:color w:val="4B4B4B"/>
          <w:spacing w:val="0"/>
          <w:sz w:val="19"/>
          <w:szCs w:val="19"/>
          <w:bdr w:val="none" w:color="auto" w:sz="0" w:space="0"/>
        </w:rPr>
        <w:t> 图书馆应当设专职管理人员并保持稳定性。图书馆管理人员编制在本校教职工编制总数内合理确定。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图书馆管理人员应当具备基本的图书馆专业知识与专业技能。中学图书馆管理人员应当具备大学本科以上文化程度，小学图书馆管理人员应当具备大学专科以上文化程度。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第三十四条</w:t>
      </w:r>
      <w:r>
        <w:rPr>
          <w:rFonts w:hint="eastAsia" w:ascii="微软雅黑" w:hAnsi="微软雅黑" w:eastAsia="微软雅黑" w:cs="微软雅黑"/>
          <w:b w:val="0"/>
          <w:i w:val="0"/>
          <w:caps w:val="0"/>
          <w:color w:val="4B4B4B"/>
          <w:spacing w:val="0"/>
          <w:sz w:val="19"/>
          <w:szCs w:val="19"/>
          <w:bdr w:val="none" w:color="auto" w:sz="0" w:space="0"/>
        </w:rPr>
        <w:t> 图书馆专业人员实行专业技术职务聘任制。图书馆管理人员专业技术职务聘任参照国家有关规定执行，有条件的地区和学校，可设立中小学图书馆图书资料系列专业技术岗位。图书馆管理人员在调资晋级或评奖时，与学科教师同等对待，并按国家相关规定享受相应的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第三十五条</w:t>
      </w:r>
      <w:r>
        <w:rPr>
          <w:rFonts w:hint="eastAsia" w:ascii="微软雅黑" w:hAnsi="微软雅黑" w:eastAsia="微软雅黑" w:cs="微软雅黑"/>
          <w:b w:val="0"/>
          <w:i w:val="0"/>
          <w:caps w:val="0"/>
          <w:color w:val="4B4B4B"/>
          <w:spacing w:val="0"/>
          <w:sz w:val="19"/>
          <w:szCs w:val="19"/>
          <w:bdr w:val="none" w:color="auto" w:sz="0" w:space="0"/>
        </w:rPr>
        <w:t> 图书馆管理人员应当定期参加教育行政部门或专业学术团体组织的专业培训，并纳入继续教育学分管理。支持图书馆管理人员参加专业学术团体。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第三十六条</w:t>
      </w:r>
      <w:r>
        <w:rPr>
          <w:rFonts w:hint="eastAsia" w:ascii="微软雅黑" w:hAnsi="微软雅黑" w:eastAsia="微软雅黑" w:cs="微软雅黑"/>
          <w:b w:val="0"/>
          <w:i w:val="0"/>
          <w:caps w:val="0"/>
          <w:color w:val="4B4B4B"/>
          <w:spacing w:val="0"/>
          <w:sz w:val="19"/>
          <w:szCs w:val="19"/>
          <w:bdr w:val="none" w:color="auto" w:sz="0" w:space="0"/>
        </w:rPr>
        <w:t> 各地教育行政部门和学校应当保障图书馆建设、配备、管理、应用、培训等所需经费，在经费预算和资金保障方面应当向农村学校和薄弱学校倾斜。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图书馆应当积极配合企事业单位、社会团体和公民个人以各种方式支持、参与图书馆建设，依法组织捐赠，确保质量。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第三十七条</w:t>
      </w:r>
      <w:r>
        <w:rPr>
          <w:rFonts w:hint="eastAsia" w:ascii="微软雅黑" w:hAnsi="微软雅黑" w:eastAsia="微软雅黑" w:cs="微软雅黑"/>
          <w:b w:val="0"/>
          <w:i w:val="0"/>
          <w:caps w:val="0"/>
          <w:color w:val="4B4B4B"/>
          <w:spacing w:val="0"/>
          <w:sz w:val="19"/>
          <w:szCs w:val="19"/>
          <w:bdr w:val="none" w:color="auto" w:sz="0" w:space="0"/>
        </w:rPr>
        <w:t> 地方各级教育行政部门应当建立健全出版物采购廉政风险防控机制，定期组织开展中小学图书馆藏书质量和管理服务的督导评估，推动提高馆藏文献信息质量和服务效能。图书馆建设与管理工作纳入学校和校长考核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第三十八条</w:t>
      </w:r>
      <w:r>
        <w:rPr>
          <w:rFonts w:hint="eastAsia" w:ascii="微软雅黑" w:hAnsi="微软雅黑" w:eastAsia="微软雅黑" w:cs="微软雅黑"/>
          <w:b w:val="0"/>
          <w:i w:val="0"/>
          <w:caps w:val="0"/>
          <w:color w:val="4B4B4B"/>
          <w:spacing w:val="0"/>
          <w:sz w:val="19"/>
          <w:szCs w:val="19"/>
          <w:bdr w:val="none" w:color="auto" w:sz="0" w:space="0"/>
        </w:rPr>
        <w:t> 特殊教育学校图书馆参照本规程执行。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Fonts w:hint="eastAsia" w:ascii="微软雅黑" w:hAnsi="微软雅黑" w:eastAsia="微软雅黑" w:cs="微软雅黑"/>
          <w:b w:val="0"/>
          <w:i w:val="0"/>
          <w:caps w:val="0"/>
          <w:color w:val="4B4B4B"/>
          <w:spacing w:val="0"/>
          <w:sz w:val="19"/>
          <w:szCs w:val="19"/>
          <w:bdr w:val="none" w:color="auto" w:sz="0" w:space="0"/>
        </w:rPr>
        <w:t>　　</w:t>
      </w:r>
      <w:r>
        <w:rPr>
          <w:rStyle w:val="6"/>
          <w:rFonts w:hint="eastAsia" w:ascii="微软雅黑" w:hAnsi="微软雅黑" w:eastAsia="微软雅黑" w:cs="微软雅黑"/>
          <w:i w:val="0"/>
          <w:caps w:val="0"/>
          <w:color w:val="4B4B4B"/>
          <w:spacing w:val="0"/>
          <w:sz w:val="19"/>
          <w:szCs w:val="19"/>
          <w:bdr w:val="none" w:color="auto" w:sz="0" w:space="0"/>
        </w:rPr>
        <w:t>第三十九条</w:t>
      </w:r>
      <w:r>
        <w:rPr>
          <w:rFonts w:hint="eastAsia" w:ascii="微软雅黑" w:hAnsi="微软雅黑" w:eastAsia="微软雅黑" w:cs="微软雅黑"/>
          <w:b w:val="0"/>
          <w:i w:val="0"/>
          <w:caps w:val="0"/>
          <w:color w:val="4B4B4B"/>
          <w:spacing w:val="0"/>
          <w:sz w:val="19"/>
          <w:szCs w:val="19"/>
          <w:bdr w:val="none" w:color="auto" w:sz="0" w:space="0"/>
        </w:rPr>
        <w:t> 本规程自2018年6月1日起施行，2003年5月1日发布的《中小学图书馆(室)规程》同时废止。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附表一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中小学图书馆（室）藏书量</w:t>
      </w:r>
    </w:p>
    <w:tbl>
      <w:tblPr>
        <w:tblW w:w="9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41"/>
        <w:gridCol w:w="1941"/>
        <w:gridCol w:w="1942"/>
        <w:gridCol w:w="1942"/>
        <w:gridCol w:w="1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jc w:val="center"/>
        </w:trPr>
        <w:tc>
          <w:tcPr>
            <w:tcW w:w="1000" w:type="pct"/>
            <w:tcBorders>
              <w:top w:val="single" w:color="auto" w:sz="8" w:space="0"/>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000" w:type="pct"/>
            <w:tcBorders>
              <w:top w:val="single" w:color="auto" w:sz="8" w:space="0"/>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ascii="仿宋_GB2312" w:hAnsi="微软雅黑" w:eastAsia="仿宋_GB2312" w:cs="仿宋_GB2312"/>
                <w:color w:val="000000"/>
                <w:kern w:val="0"/>
                <w:sz w:val="19"/>
                <w:szCs w:val="19"/>
                <w:bdr w:val="none" w:color="auto" w:sz="0" w:space="0"/>
                <w:lang w:val="en-US" w:eastAsia="zh-CN" w:bidi="ar"/>
              </w:rPr>
              <w:t>完全中学</w:t>
            </w:r>
          </w:p>
        </w:tc>
        <w:tc>
          <w:tcPr>
            <w:tcW w:w="1000" w:type="pct"/>
            <w:tcBorders>
              <w:top w:val="single" w:color="auto" w:sz="8" w:space="0"/>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高级中学</w:t>
            </w:r>
          </w:p>
        </w:tc>
        <w:tc>
          <w:tcPr>
            <w:tcW w:w="1000" w:type="pct"/>
            <w:tcBorders>
              <w:top w:val="single" w:color="auto" w:sz="8" w:space="0"/>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初级中学</w:t>
            </w:r>
          </w:p>
        </w:tc>
        <w:tc>
          <w:tcPr>
            <w:tcW w:w="1000" w:type="pct"/>
            <w:tcBorders>
              <w:top w:val="single" w:color="auto" w:sz="8" w:space="0"/>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00" w:type="pct"/>
            <w:tcBorders>
              <w:top w:val="nil"/>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人均藏书量(册)</w:t>
            </w:r>
            <w:r>
              <w:rPr>
                <w:rFonts w:hint="default" w:ascii="仿宋_GB2312" w:hAnsi="微软雅黑" w:eastAsia="仿宋_GB2312" w:cs="仿宋_GB2312"/>
                <w:color w:val="000000"/>
                <w:kern w:val="0"/>
                <w:sz w:val="19"/>
                <w:szCs w:val="19"/>
                <w:bdr w:val="none" w:color="auto" w:sz="0" w:space="0"/>
                <w:lang w:val="en-US" w:eastAsia="zh-CN" w:bidi="ar"/>
              </w:rPr>
              <w:br w:type="textWrapping"/>
            </w:r>
            <w:r>
              <w:rPr>
                <w:rFonts w:hint="default" w:ascii="仿宋_GB2312" w:hAnsi="微软雅黑" w:eastAsia="仿宋_GB2312" w:cs="仿宋_GB2312"/>
                <w:color w:val="000000"/>
                <w:kern w:val="0"/>
                <w:sz w:val="19"/>
                <w:szCs w:val="19"/>
                <w:bdr w:val="none" w:color="auto" w:sz="0" w:space="0"/>
                <w:lang w:val="en-US" w:eastAsia="zh-CN" w:bidi="ar"/>
              </w:rPr>
              <w:t>(按在校学生数)</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40</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45</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35</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00" w:type="pct"/>
            <w:tcBorders>
              <w:top w:val="nil"/>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报刊（种）</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120</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120</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80</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1000" w:type="pct"/>
            <w:tcBorders>
              <w:top w:val="nil"/>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工具书、教学参考书（种）</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250</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250</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180</w:t>
            </w:r>
          </w:p>
        </w:tc>
        <w:tc>
          <w:tcPr>
            <w:tcW w:w="10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120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附表二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Style w:val="6"/>
          <w:rFonts w:hint="eastAsia" w:ascii="微软雅黑" w:hAnsi="微软雅黑" w:eastAsia="微软雅黑" w:cs="微软雅黑"/>
          <w:i w:val="0"/>
          <w:caps w:val="0"/>
          <w:color w:val="4B4B4B"/>
          <w:spacing w:val="0"/>
          <w:sz w:val="19"/>
          <w:szCs w:val="19"/>
          <w:bdr w:val="none" w:color="auto" w:sz="0" w:space="0"/>
        </w:rPr>
        <w:t>中小学图书馆（室）藏书分类比例表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kern w:val="0"/>
          <w:sz w:val="27"/>
          <w:szCs w:val="27"/>
          <w:bdr w:val="none" w:color="auto" w:sz="0" w:space="0"/>
          <w:lang w:val="en-US" w:eastAsia="zh-CN" w:bidi="ar"/>
        </w:rPr>
        <w:t> </w:t>
      </w:r>
    </w:p>
    <w:tbl>
      <w:tblPr>
        <w:tblW w:w="97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0"/>
        <w:gridCol w:w="392"/>
        <w:gridCol w:w="5786"/>
        <w:gridCol w:w="1079"/>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jc w:val="center"/>
        </w:trPr>
        <w:tc>
          <w:tcPr>
            <w:tcW w:w="3900" w:type="pct"/>
            <w:gridSpan w:val="3"/>
            <w:tcBorders>
              <w:top w:val="single" w:color="auto" w:sz="8" w:space="0"/>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部类</w:t>
            </w:r>
          </w:p>
        </w:tc>
        <w:tc>
          <w:tcPr>
            <w:tcW w:w="1050" w:type="pct"/>
            <w:gridSpan w:val="2"/>
            <w:tcBorders>
              <w:top w:val="single" w:color="auto" w:sz="8" w:space="0"/>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分类比例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tcBorders>
              <w:top w:val="nil"/>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五大部类</w:t>
            </w: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22个基本部类</w:t>
            </w:r>
          </w:p>
        </w:tc>
        <w:tc>
          <w:tcPr>
            <w:tcW w:w="55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小学</w:t>
            </w:r>
          </w:p>
        </w:tc>
        <w:tc>
          <w:tcPr>
            <w:tcW w:w="5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tcBorders>
              <w:top w:val="nil"/>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第一大类</w:t>
            </w: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A马克思主义、列宁主义、毛泽东思想、邓小平理论</w:t>
            </w:r>
          </w:p>
        </w:tc>
        <w:tc>
          <w:tcPr>
            <w:tcW w:w="55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1.50%</w:t>
            </w:r>
          </w:p>
        </w:tc>
        <w:tc>
          <w:tcPr>
            <w:tcW w:w="5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tcBorders>
              <w:top w:val="nil"/>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第二大类</w:t>
            </w: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B哲学、宗教</w:t>
            </w:r>
          </w:p>
        </w:tc>
        <w:tc>
          <w:tcPr>
            <w:tcW w:w="55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1.50%</w:t>
            </w:r>
          </w:p>
        </w:tc>
        <w:tc>
          <w:tcPr>
            <w:tcW w:w="5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restart"/>
            <w:tcBorders>
              <w:top w:val="nil"/>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第三大类</w:t>
            </w: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C社会科学总论</w:t>
            </w:r>
          </w:p>
        </w:tc>
        <w:tc>
          <w:tcPr>
            <w:tcW w:w="550" w:type="pct"/>
            <w:vMerge w:val="restar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64%</w:t>
            </w:r>
          </w:p>
        </w:tc>
        <w:tc>
          <w:tcPr>
            <w:tcW w:w="500" w:type="pct"/>
            <w:vMerge w:val="restar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D政治法律</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E军事</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F经济</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200" w:type="pct"/>
            <w:vMerge w:val="restar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G</w:t>
            </w:r>
          </w:p>
        </w:tc>
        <w:tc>
          <w:tcPr>
            <w:tcW w:w="295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文化、科学</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2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295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教育</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2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295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体育</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H语言、文字</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I文学</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J艺术</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K历史、地理</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restart"/>
            <w:tcBorders>
              <w:top w:val="nil"/>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第四大类</w:t>
            </w: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N自然科学总论</w:t>
            </w:r>
          </w:p>
        </w:tc>
        <w:tc>
          <w:tcPr>
            <w:tcW w:w="550" w:type="pct"/>
            <w:vMerge w:val="restar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28%</w:t>
            </w:r>
          </w:p>
        </w:tc>
        <w:tc>
          <w:tcPr>
            <w:tcW w:w="500" w:type="pct"/>
            <w:vMerge w:val="restar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O数理科学和化学</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P天文学、地球科学</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Q生物科学</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R医药、卫生</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S农业科学</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T工业技术</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U交通运输</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V航空、航天</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vMerge w:val="continue"/>
            <w:tcBorders>
              <w:top w:val="nil"/>
              <w:left w:val="single" w:color="auto" w:sz="8" w:space="0"/>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X环境科学、安全科学</w:t>
            </w:r>
          </w:p>
        </w:tc>
        <w:tc>
          <w:tcPr>
            <w:tcW w:w="55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c>
          <w:tcPr>
            <w:tcW w:w="500" w:type="pct"/>
            <w:vMerge w:val="continue"/>
            <w:tcBorders>
              <w:top w:val="nil"/>
              <w:left w:val="nil"/>
              <w:bottom w:val="single" w:color="auto" w:sz="8" w:space="0"/>
              <w:right w:val="single" w:color="auto" w:sz="8" w:space="0"/>
            </w:tcBorders>
            <w:shd w:val="clear"/>
            <w:tcMar>
              <w:top w:w="85" w:type="dxa"/>
              <w:bottom w:w="8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50" w:type="pct"/>
            <w:tcBorders>
              <w:top w:val="nil"/>
              <w:left w:val="single" w:color="auto" w:sz="8" w:space="0"/>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第五大类</w:t>
            </w:r>
          </w:p>
        </w:tc>
        <w:tc>
          <w:tcPr>
            <w:tcW w:w="3150" w:type="pct"/>
            <w:gridSpan w:val="2"/>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Z综合性图书</w:t>
            </w:r>
          </w:p>
        </w:tc>
        <w:tc>
          <w:tcPr>
            <w:tcW w:w="55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5%</w:t>
            </w:r>
          </w:p>
        </w:tc>
        <w:tc>
          <w:tcPr>
            <w:tcW w:w="500" w:type="pct"/>
            <w:tcBorders>
              <w:top w:val="nil"/>
              <w:left w:val="nil"/>
              <w:bottom w:val="single" w:color="auto" w:sz="8" w:space="0"/>
              <w:right w:val="single" w:color="auto" w:sz="8" w:space="0"/>
            </w:tcBorders>
            <w:shd w:val="clear"/>
            <w:tcMar>
              <w:top w:w="85" w:type="dxa"/>
              <w:bottom w:w="8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微软雅黑" w:hAnsi="微软雅黑" w:eastAsia="微软雅黑" w:cs="微软雅黑"/>
                <w:color w:val="4B4B4B"/>
                <w:sz w:val="19"/>
                <w:szCs w:val="19"/>
              </w:rPr>
            </w:pPr>
            <w:r>
              <w:rPr>
                <w:rFonts w:hint="default" w:ascii="仿宋_GB2312" w:hAnsi="微软雅黑" w:eastAsia="仿宋_GB2312" w:cs="仿宋_GB2312"/>
                <w:color w:val="000000"/>
                <w:kern w:val="0"/>
                <w:sz w:val="19"/>
                <w:szCs w:val="19"/>
                <w:bdr w:val="none" w:color="auto" w:sz="0" w:space="0"/>
                <w:lang w:val="en-US" w:eastAsia="zh-CN" w:bidi="ar"/>
              </w:rPr>
              <w:t>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F71E7"/>
    <w:rsid w:val="2DEF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2019-11-12T02:47:00Z</dcterms:created>
  <dc:creator>风</dc:creator>
  <cp:lastModifiedBy>风</cp:lastModifiedBy>
  <dcterms:modified xsi:type="dcterms:W3CDTF">2019-11-12T02:48:51Z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